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C60A7A" w:rsidRDefault="00C60A7A" w:rsidP="00C60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60A7A" w:rsidRDefault="00C60A7A" w:rsidP="00C60A7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60A7A" w:rsidRDefault="00C60A7A" w:rsidP="00C60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60A7A" w:rsidRPr="00F776F9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52</w:t>
      </w:r>
      <w:r w:rsidR="00F776F9"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C30904" w:rsidRPr="009E18AA" w:rsidRDefault="00C30904" w:rsidP="00C309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C30904" w:rsidRPr="00F776F9" w:rsidRDefault="00C30904" w:rsidP="00C309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F776F9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F776F9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776F9"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776F9" w:rsidRPr="00F776F9" w:rsidRDefault="00F776F9" w:rsidP="00E82D21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776F9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F776F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F776F9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F776F9">
        <w:rPr>
          <w:rFonts w:ascii="Times New Roman" w:eastAsia="Times New Roman" w:hAnsi="Times New Roman"/>
          <w:sz w:val="28"/>
          <w:szCs w:val="28"/>
          <w:u w:val="single"/>
        </w:rPr>
        <w:t xml:space="preserve">Приемане на Годишен финансов отчет за 2020 г., Годишен доклад за дейността през 2020 г., Доклад на независимия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u w:val="single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u w:val="single"/>
        </w:rPr>
        <w:t xml:space="preserve">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u w:val="single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u w:val="single"/>
        </w:rPr>
        <w:t xml:space="preserve"> болница за активно лечение д-р Димитър Павлович” ЕООД, ЕИК 104509202 за 2020 г., разпределяне на печалбата, освобождаване на управителя от отговорност и избор на регистриран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u w:val="single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u w:val="single"/>
        </w:rPr>
        <w:t xml:space="preserve"> за 2021 г.</w:t>
      </w:r>
    </w:p>
    <w:p w:rsidR="00F776F9" w:rsidRPr="00F776F9" w:rsidRDefault="00F776F9" w:rsidP="00F776F9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</w:rPr>
      </w:pPr>
    </w:p>
    <w:p w:rsidR="00F776F9" w:rsidRPr="00F776F9" w:rsidRDefault="00F776F9" w:rsidP="00F776F9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</w:rPr>
      </w:pP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</w:rPr>
        <w:t xml:space="preserve">На основание чл. 21, ал. 1, т. 23 и ал. 2 от Закона за местното самоуправление и местната администрация (ЗМСМА), чл. 137, ал. 1, т. 3 и т. 5, във връзка с чл. 147, ал. 2 и чл. 146 от Търговския закон (ТЗ), чл. 37, ал. 1 и </w:t>
      </w:r>
      <w:r w:rsidR="00635BAA">
        <w:rPr>
          <w:rFonts w:ascii="Times New Roman" w:eastAsia="Times New Roman" w:hAnsi="Times New Roman"/>
          <w:sz w:val="28"/>
          <w:szCs w:val="28"/>
        </w:rPr>
        <w:t xml:space="preserve"> </w:t>
      </w:r>
      <w:r w:rsidR="00E82D21">
        <w:rPr>
          <w:rFonts w:ascii="Times New Roman" w:eastAsia="Times New Roman" w:hAnsi="Times New Roman"/>
          <w:sz w:val="28"/>
          <w:szCs w:val="28"/>
          <w:lang w:val="en-US"/>
        </w:rPr>
        <w:t xml:space="preserve">          </w:t>
      </w:r>
      <w:r w:rsidRPr="00F776F9">
        <w:rPr>
          <w:rFonts w:ascii="Times New Roman" w:eastAsia="Times New Roman" w:hAnsi="Times New Roman"/>
          <w:sz w:val="28"/>
          <w:szCs w:val="28"/>
        </w:rPr>
        <w:t>чл. 38 от Закона за счетоводството (ЗСч), чл. 26 от Закона за публичните предприятия (ЗПП), чл. 48, ал. 3 от Закона за независимия финансов одит (ЗНФО), чл. 25, ал. 1, т. 3, т. 4 и т. 6 от Наредбата за реда за учредяване и упражняване правата на Общината в публични предприятия и търговски дружества с общинско участие в капитала, граждански дружества по Закона за задълженията и договорите и сдружения по Закона за юридическите лица с нестопанска цел, чл. 17 от Учредителен акт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</w:rPr>
        <w:t xml:space="preserve"> болница за активно лечение д-р Димитър Павлович” ЕООД, докладна записка (№ 08-00-1178/14.07.2021 г.) от дирекция „Управление на собствеността и стопански дейности“,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</w:rPr>
        <w:t>придружително</w:t>
      </w:r>
      <w:proofErr w:type="spellEnd"/>
      <w:r w:rsidRPr="00F776F9">
        <w:rPr>
          <w:rFonts w:ascii="Times New Roman" w:eastAsia="Times New Roman" w:hAnsi="Times New Roman"/>
          <w:sz w:val="28"/>
          <w:szCs w:val="28"/>
        </w:rPr>
        <w:t xml:space="preserve"> писмо с Вх. №  975/13.07.2021 г. за приемане на ГФО за 2020 г. от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</w:rPr>
        <w:t xml:space="preserve"> болница за активно лечение д-р Димитър Павлович” ЕООД и предложение с Вх. № </w:t>
      </w:r>
      <w:r w:rsidRPr="00F776F9">
        <w:rPr>
          <w:rFonts w:ascii="Times New Roman" w:eastAsia="Times New Roman" w:hAnsi="Times New Roman"/>
          <w:sz w:val="28"/>
          <w:szCs w:val="28"/>
          <w:lang w:val="en-US"/>
        </w:rPr>
        <w:t>982</w:t>
      </w:r>
      <w:r w:rsidRPr="00F776F9">
        <w:rPr>
          <w:rFonts w:ascii="Times New Roman" w:eastAsia="Times New Roman" w:hAnsi="Times New Roman"/>
          <w:sz w:val="28"/>
          <w:szCs w:val="28"/>
        </w:rPr>
        <w:t>/1</w:t>
      </w:r>
      <w:r w:rsidRPr="00F776F9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F776F9">
        <w:rPr>
          <w:rFonts w:ascii="Times New Roman" w:eastAsia="Times New Roman" w:hAnsi="Times New Roman"/>
          <w:sz w:val="28"/>
          <w:szCs w:val="28"/>
        </w:rPr>
        <w:t>.0</w:t>
      </w:r>
      <w:r w:rsidRPr="00F776F9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F776F9">
        <w:rPr>
          <w:rFonts w:ascii="Times New Roman" w:eastAsia="Times New Roman" w:hAnsi="Times New Roman"/>
          <w:sz w:val="28"/>
          <w:szCs w:val="28"/>
        </w:rPr>
        <w:t>.2021 г. от д-р Генчо Генчев – Кмет на община Свищов</w:t>
      </w: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F776F9" w:rsidRPr="00F776F9" w:rsidRDefault="00F776F9" w:rsidP="00F77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776F9" w:rsidRPr="00F776F9" w:rsidRDefault="00F776F9" w:rsidP="00F77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76F9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F776F9" w:rsidRPr="00F776F9" w:rsidRDefault="00F776F9" w:rsidP="00F77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1. Приема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Годишния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финансов отчет за 2020 г.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болница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за активно лечение д-р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Димитър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Павлович” ЕООД, ЕИК 104509202.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2. Приема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Годишния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доклад за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дейността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през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2020 г.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болница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за активно лечение д-р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Димитър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Павлович” ЕООД, ЕИК 104509202.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76F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3. Приема доклада на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независимия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болница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за активно лечение д-р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Димитър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Павлович” ЕООД, ЕИК 104509202 за 2020 г.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4.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Възлага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на управителя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болница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за активно лечение д-р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Димитър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Павлович” ЕООД, ЕИК 104509202 да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предприеме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необходимите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действия по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обявяване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Годишния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финансов отчет за 2020 г. на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дружеството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съгласно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предвидения законов ред.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5.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Реализираната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печалба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дейността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болница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за активно лечение д-р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Димитър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Павлович” ЕООД, ЕИК 104509202 за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финансовата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2020 г. в размер на 19 000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лв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. (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деветнадесет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хиляди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лева) не се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разпределя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Същата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да послужи за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погасяване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просрочени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задължения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дружеството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776F9">
        <w:rPr>
          <w:rFonts w:ascii="Times New Roman" w:eastAsia="Times New Roman" w:hAnsi="Times New Roman"/>
          <w:sz w:val="28"/>
          <w:szCs w:val="28"/>
          <w:lang w:val="ru-RU"/>
        </w:rPr>
        <w:t>6. 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Освобождава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отговорност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Илиян Венков – управител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болница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за активно лечение д-р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Димитър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Павлович” ЕООД, ЕИК 104509202 за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дейността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му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през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2020 г.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7.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Избира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регистриран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Румянка Николова (рег. № 0149) за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болница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за активно лечение д-р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Димитър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Павлович” ЕООД за    2021 г.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С докладна записка до Кмета на община Свищов (№ 08-00-1178/14.07.2021 г.) от дирекция „Управление на собствеността и стопански дейности“ е сведена информация относно представен от управителя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болница за активно лечение д-р Димитър Павлович” ЕООД годишен финансов отчет към 31 декември 2020 г. (рег. индекс 29-02-22/12.07.2021 г.) със съставни части, както следва:</w:t>
      </w:r>
    </w:p>
    <w:p w:rsidR="00F776F9" w:rsidRPr="00F776F9" w:rsidRDefault="00F776F9" w:rsidP="00F776F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Счетоводен баланс към 31.12.2020 г.;</w:t>
      </w:r>
    </w:p>
    <w:p w:rsidR="00F776F9" w:rsidRPr="00F776F9" w:rsidRDefault="00F776F9" w:rsidP="00F776F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Отчет за приходите и разходите за 2020 г.;</w:t>
      </w:r>
    </w:p>
    <w:p w:rsidR="00F776F9" w:rsidRPr="00F776F9" w:rsidRDefault="00F776F9" w:rsidP="00F776F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Отчет за собствения капитал за 2020 г.;</w:t>
      </w:r>
    </w:p>
    <w:p w:rsidR="00F776F9" w:rsidRPr="00F776F9" w:rsidRDefault="00F776F9" w:rsidP="00F776F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Отчет за паричните потоци за 2020 г.;</w:t>
      </w:r>
    </w:p>
    <w:p w:rsidR="00F776F9" w:rsidRPr="00F776F9" w:rsidRDefault="00F776F9" w:rsidP="00F776F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Годишен доклад за дейността на дружеството за 2020 г.;</w:t>
      </w:r>
    </w:p>
    <w:p w:rsidR="00F776F9" w:rsidRPr="00F776F9" w:rsidRDefault="00F776F9" w:rsidP="00F776F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Доклад на независимия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за 2020 г.;</w:t>
      </w:r>
    </w:p>
    <w:p w:rsidR="00F776F9" w:rsidRPr="00F776F9" w:rsidRDefault="00F776F9" w:rsidP="00F776F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Счетоводна политика и пояснителни приложения към ГФО за 2020 г.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Годишният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финансов отчет за 2020 г.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болница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за активно лечение д-р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val="ru-RU"/>
        </w:rPr>
        <w:t>Димитър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val="ru-RU"/>
        </w:rPr>
        <w:t xml:space="preserve"> Павлович” ЕООД</w:t>
      </w:r>
      <w:r w:rsidRPr="00F776F9">
        <w:rPr>
          <w:rFonts w:ascii="Times New Roman" w:eastAsia="Times New Roman" w:hAnsi="Times New Roman"/>
          <w:sz w:val="28"/>
          <w:szCs w:val="28"/>
        </w:rPr>
        <w:t xml:space="preserve"> е представен и в деловодството на Общински съвет – Свищов с писмо с Вх. №  975/13.07.2021 г.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С оглед на факта, че едноличен собственик на капитала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болница за активно лечение д-р Димитър Павлович” ЕООД е Община Свищов, на основание чл. 137, ал. 1, т. 3 и т. 5 във връзка с чл. 147, ал. 2 от Търговския закон и чл. 25, ал. 1, т. 3, т. 4, т. 6 и т. 16 от Наредбата за реда за учредяване и упражняване правата на Общината в публични предприятия и търговски дружества с общинско участие в капитала, граждански дружества по Закона за задълженията и договорите и сдружения по Закона за юридическите лица с нестопанска цел, във връзка с чл. 17 от Учредителен акт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болница за активно лечение д-р Димитър Павлович” ЕООД, Общински съвет – Свищов следва да вземе решение за приемане на Годишен финансов отчет за 2020 г., Годишен доклад за дейността през 2020 г., Доклад на независимия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болница за активно лечение д-р Димитър Павлович” ЕООД, ЕИК 104509202 за 2020 г., разпределяне на печалбата, освобождаване на управителя от отговорност и избор на регистриран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за     2021 г.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Видно от представените финансови документи, за отчетната 2020 г.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болница за активно лечение д-р Димитър Павлович” ЕООД реализира финансов резултат „печалба“, при наличие на несъбрани вземания. 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В допълнение, съгласно чл. 16 от ЗСч, органите на управление на </w:t>
      </w:r>
      <w:bookmarkStart w:id="0" w:name="_GoBack"/>
      <w:bookmarkEnd w:id="0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предприятието отговарят както за съставянето, своевременното изготвяне и съдържанието, така и за публикуването на финансовите отчети. Предпоставка за самото публикуване е изпълнението на разпоредбата на чл. 38 от ЗСч – предприятието следва да публикува годишния си финансов отчет, след приемането му от компетентния орган.</w:t>
      </w:r>
    </w:p>
    <w:p w:rsidR="00F776F9" w:rsidRPr="00F776F9" w:rsidRDefault="00F776F9" w:rsidP="00F776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Съгласно изискванията на чл. 26 от Закона за публичните предприятия, чл. 146 от Търговския закон, чл. 37, ал. 1 от Закона за счетоводството и чл. 48, ал. 3 от Закона за независимия финансов одит</w:t>
      </w:r>
      <w:r w:rsidRPr="00F776F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е необходимо Общински съвет – Свищов да вземе решение за избор на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на „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Многопрофилна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болница за активно лечение д-р Димитър Павлович” ЕООД, ЕИК 104509202 за 2021 г. От публичното предприятие е направено предложение за </w:t>
      </w:r>
      <w:proofErr w:type="spellStart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>одитор</w:t>
      </w:r>
      <w:proofErr w:type="spellEnd"/>
      <w:r w:rsidRPr="00F776F9">
        <w:rPr>
          <w:rFonts w:ascii="Times New Roman" w:eastAsia="Times New Roman" w:hAnsi="Times New Roman"/>
          <w:sz w:val="28"/>
          <w:szCs w:val="28"/>
          <w:lang w:eastAsia="bg-BG"/>
        </w:rPr>
        <w:t xml:space="preserve"> да бъде избрана Румянка Николова, регистрирана през 1992 г., с регистрационен номер 0149, в регистъра по чл. 20 от Закона за независимия финансов одит.</w:t>
      </w:r>
    </w:p>
    <w:p w:rsidR="00C60A7A" w:rsidRPr="00C60A7A" w:rsidRDefault="00C60A7A" w:rsidP="00C60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A7A" w:rsidRPr="00FF3AA9" w:rsidRDefault="00C60A7A" w:rsidP="00C60A7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0A7A" w:rsidRPr="00014635" w:rsidRDefault="00C60A7A" w:rsidP="00C60A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562FF6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C60A7A" w:rsidRPr="00562FF6" w:rsidRDefault="00C60A7A" w:rsidP="00C60A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562FF6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35BAA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562FF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562FF6">
        <w:rPr>
          <w:rFonts w:ascii="Times New Roman" w:eastAsia="Times New Roman" w:hAnsi="Times New Roman"/>
          <w:sz w:val="28"/>
          <w:szCs w:val="28"/>
          <w:lang w:eastAsia="bg-BG"/>
        </w:rPr>
        <w:t>Не участва – 1.</w:t>
      </w:r>
    </w:p>
    <w:p w:rsidR="00C60A7A" w:rsidRPr="00014635" w:rsidRDefault="00C60A7A" w:rsidP="00C60A7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60A7A" w:rsidRPr="00014635" w:rsidRDefault="00C60A7A" w:rsidP="00C60A7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60A7A" w:rsidRPr="00014635" w:rsidRDefault="00C60A7A" w:rsidP="00C60A7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60A7A" w:rsidRPr="00014635" w:rsidRDefault="00C60A7A" w:rsidP="00C60A7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C60A7A" w:rsidRPr="00014635" w:rsidRDefault="00C60A7A" w:rsidP="00C60A7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60A7A" w:rsidRPr="00014635" w:rsidRDefault="00C60A7A" w:rsidP="00C60A7A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60A7A" w:rsidRPr="00014635" w:rsidRDefault="00C60A7A" w:rsidP="00C60A7A">
      <w:pPr>
        <w:rPr>
          <w:sz w:val="28"/>
          <w:szCs w:val="28"/>
        </w:rPr>
      </w:pPr>
    </w:p>
    <w:p w:rsidR="00C60A7A" w:rsidRDefault="00C60A7A" w:rsidP="00C60A7A"/>
    <w:p w:rsidR="000E221B" w:rsidRPr="00C60A7A" w:rsidRDefault="000E221B" w:rsidP="00C60A7A"/>
    <w:sectPr w:rsidR="000E221B" w:rsidRPr="00C60A7A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153"/>
    <w:multiLevelType w:val="hybridMultilevel"/>
    <w:tmpl w:val="A73AD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8B"/>
    <w:rsid w:val="000E221B"/>
    <w:rsid w:val="00455EBC"/>
    <w:rsid w:val="00562FF6"/>
    <w:rsid w:val="00635BAA"/>
    <w:rsid w:val="007F5E72"/>
    <w:rsid w:val="0084078B"/>
    <w:rsid w:val="00952353"/>
    <w:rsid w:val="00B41812"/>
    <w:rsid w:val="00B579B8"/>
    <w:rsid w:val="00C30904"/>
    <w:rsid w:val="00C60A7A"/>
    <w:rsid w:val="00E82D21"/>
    <w:rsid w:val="00E9383D"/>
    <w:rsid w:val="00F5110E"/>
    <w:rsid w:val="00F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4170-10C7-4CE0-AD5C-33BC2A0F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10</cp:revision>
  <dcterms:created xsi:type="dcterms:W3CDTF">2021-06-23T12:52:00Z</dcterms:created>
  <dcterms:modified xsi:type="dcterms:W3CDTF">2021-08-02T10:40:00Z</dcterms:modified>
</cp:coreProperties>
</file>